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DCDB" w14:textId="77777777" w:rsidR="00CC7634" w:rsidRPr="00BB78E2" w:rsidRDefault="00403389" w:rsidP="00333A26">
      <w:pPr>
        <w:spacing w:before="82"/>
        <w:rPr>
          <w:b/>
        </w:rPr>
      </w:pPr>
      <w:r w:rsidRPr="00BB78E2">
        <w:rPr>
          <w:b/>
          <w:u w:val="single"/>
        </w:rPr>
        <w:t>Specific Terms and Conditions</w:t>
      </w:r>
    </w:p>
    <w:p w14:paraId="0B738498" w14:textId="77777777" w:rsidR="00CC7634" w:rsidRPr="00BB78E2" w:rsidRDefault="00CC7634" w:rsidP="00333A26">
      <w:pPr>
        <w:pStyle w:val="BodyText"/>
        <w:spacing w:before="9"/>
        <w:ind w:left="0"/>
        <w:rPr>
          <w:b/>
          <w:sz w:val="22"/>
          <w:szCs w:val="22"/>
        </w:rPr>
      </w:pPr>
    </w:p>
    <w:p w14:paraId="69B2762F" w14:textId="77777777" w:rsidR="00CC7634" w:rsidRPr="00BB78E2" w:rsidRDefault="00403389" w:rsidP="00333A26">
      <w:pPr>
        <w:pStyle w:val="Heading1"/>
        <w:spacing w:before="94"/>
        <w:ind w:left="0"/>
        <w:rPr>
          <w:sz w:val="22"/>
          <w:szCs w:val="22"/>
        </w:rPr>
      </w:pPr>
      <w:r w:rsidRPr="00BB78E2">
        <w:rPr>
          <w:sz w:val="22"/>
          <w:szCs w:val="22"/>
        </w:rPr>
        <w:t>Purpose:</w:t>
      </w:r>
    </w:p>
    <w:p w14:paraId="7E6CE766" w14:textId="04C3AB09" w:rsidR="00CC7634" w:rsidRPr="00BB78E2" w:rsidRDefault="00403389" w:rsidP="00333A26">
      <w:pPr>
        <w:pStyle w:val="BodyText"/>
        <w:ind w:left="0" w:right="145"/>
        <w:rPr>
          <w:sz w:val="22"/>
          <w:szCs w:val="22"/>
        </w:rPr>
      </w:pPr>
      <w:r w:rsidRPr="00BB78E2">
        <w:rPr>
          <w:sz w:val="22"/>
          <w:szCs w:val="22"/>
        </w:rPr>
        <w:t xml:space="preserve">The purpose of this </w:t>
      </w:r>
      <w:r w:rsidR="0021193F" w:rsidRPr="00BB78E2">
        <w:rPr>
          <w:sz w:val="22"/>
          <w:szCs w:val="22"/>
        </w:rPr>
        <w:t>TIT</w:t>
      </w:r>
      <w:r w:rsidRPr="00BB78E2">
        <w:rPr>
          <w:sz w:val="22"/>
          <w:szCs w:val="22"/>
        </w:rPr>
        <w:t xml:space="preserve">B </w:t>
      </w:r>
      <w:r w:rsidR="0021193F" w:rsidRPr="00BB78E2">
        <w:rPr>
          <w:sz w:val="22"/>
          <w:szCs w:val="22"/>
        </w:rPr>
        <w:t xml:space="preserve">(Transportation Invitation to Bid) </w:t>
      </w:r>
      <w:r w:rsidRPr="00BB78E2">
        <w:rPr>
          <w:sz w:val="22"/>
          <w:szCs w:val="22"/>
        </w:rPr>
        <w:t>is to establish a</w:t>
      </w:r>
      <w:r w:rsidR="005F3BBC">
        <w:rPr>
          <w:sz w:val="22"/>
          <w:szCs w:val="22"/>
        </w:rPr>
        <w:t xml:space="preserve"> Statewide </w:t>
      </w:r>
      <w:r w:rsidR="00151771">
        <w:rPr>
          <w:sz w:val="22"/>
          <w:szCs w:val="22"/>
        </w:rPr>
        <w:t xml:space="preserve">Traffic Control Devices </w:t>
      </w:r>
      <w:r w:rsidR="00DC6B8D">
        <w:rPr>
          <w:sz w:val="22"/>
          <w:szCs w:val="22"/>
        </w:rPr>
        <w:t>for</w:t>
      </w:r>
      <w:r w:rsidR="00151771">
        <w:rPr>
          <w:sz w:val="22"/>
          <w:szCs w:val="22"/>
        </w:rPr>
        <w:t xml:space="preserve"> Work Zones</w:t>
      </w:r>
      <w:r w:rsidR="00B05B58">
        <w:rPr>
          <w:sz w:val="22"/>
          <w:szCs w:val="22"/>
        </w:rPr>
        <w:t xml:space="preserve"> M</w:t>
      </w:r>
      <w:r w:rsidR="00C25220">
        <w:rPr>
          <w:sz w:val="22"/>
          <w:szCs w:val="22"/>
        </w:rPr>
        <w:t xml:space="preserve">aster </w:t>
      </w:r>
      <w:r w:rsidR="00B05B58">
        <w:rPr>
          <w:sz w:val="22"/>
          <w:szCs w:val="22"/>
        </w:rPr>
        <w:t>A</w:t>
      </w:r>
      <w:r w:rsidR="00C25220">
        <w:rPr>
          <w:sz w:val="22"/>
          <w:szCs w:val="22"/>
        </w:rPr>
        <w:t>greement</w:t>
      </w:r>
      <w:r w:rsidR="00B05B58">
        <w:rPr>
          <w:sz w:val="22"/>
          <w:szCs w:val="22"/>
        </w:rPr>
        <w:t>.</w:t>
      </w:r>
      <w:r w:rsidRPr="00BB78E2">
        <w:rPr>
          <w:sz w:val="22"/>
          <w:szCs w:val="22"/>
        </w:rPr>
        <w:t xml:space="preserve"> This MA will </w:t>
      </w:r>
      <w:r w:rsidR="0021193F" w:rsidRPr="00BB78E2">
        <w:rPr>
          <w:sz w:val="22"/>
          <w:szCs w:val="22"/>
        </w:rPr>
        <w:t>only be used by the Alabama Department of Transportation, through the Model Procurement Act.</w:t>
      </w:r>
    </w:p>
    <w:p w14:paraId="32F63DB3" w14:textId="77777777" w:rsidR="00CC7634" w:rsidRPr="00BB78E2" w:rsidRDefault="00CC7634" w:rsidP="00333A26">
      <w:pPr>
        <w:pStyle w:val="BodyText"/>
        <w:spacing w:before="1"/>
        <w:ind w:left="0"/>
        <w:rPr>
          <w:sz w:val="22"/>
          <w:szCs w:val="22"/>
        </w:rPr>
      </w:pPr>
    </w:p>
    <w:p w14:paraId="2BA9C96E" w14:textId="77777777" w:rsidR="00CC7634" w:rsidRPr="00BB78E2" w:rsidRDefault="00403389" w:rsidP="00333A26">
      <w:pPr>
        <w:pStyle w:val="Heading1"/>
        <w:spacing w:line="184" w:lineRule="exact"/>
        <w:ind w:left="0"/>
        <w:rPr>
          <w:sz w:val="22"/>
          <w:szCs w:val="22"/>
        </w:rPr>
      </w:pPr>
      <w:r w:rsidRPr="00BB78E2">
        <w:rPr>
          <w:sz w:val="22"/>
          <w:szCs w:val="22"/>
        </w:rPr>
        <w:t>Award:</w:t>
      </w:r>
    </w:p>
    <w:p w14:paraId="5B7B4A5D" w14:textId="666C3847" w:rsidR="00DC12BF" w:rsidRDefault="005F3BBC" w:rsidP="00333A26">
      <w:pPr>
        <w:pStyle w:val="BodyText"/>
        <w:ind w:left="0"/>
        <w:rPr>
          <w:sz w:val="22"/>
          <w:szCs w:val="22"/>
        </w:rPr>
      </w:pPr>
      <w:r>
        <w:rPr>
          <w:sz w:val="22"/>
          <w:szCs w:val="22"/>
        </w:rPr>
        <w:t xml:space="preserve">This </w:t>
      </w:r>
      <w:r w:rsidR="00C25220">
        <w:rPr>
          <w:sz w:val="22"/>
          <w:szCs w:val="22"/>
        </w:rPr>
        <w:t>bid</w:t>
      </w:r>
      <w:r>
        <w:rPr>
          <w:sz w:val="22"/>
          <w:szCs w:val="22"/>
        </w:rPr>
        <w:t xml:space="preserve"> </w:t>
      </w:r>
      <w:r w:rsidR="005A6B6F">
        <w:rPr>
          <w:sz w:val="22"/>
          <w:szCs w:val="22"/>
        </w:rPr>
        <w:t>consists</w:t>
      </w:r>
      <w:r>
        <w:rPr>
          <w:sz w:val="22"/>
          <w:szCs w:val="22"/>
        </w:rPr>
        <w:t xml:space="preserve"> of </w:t>
      </w:r>
      <w:r w:rsidR="00F55C4E">
        <w:rPr>
          <w:sz w:val="22"/>
          <w:szCs w:val="22"/>
        </w:rPr>
        <w:t>11</w:t>
      </w:r>
      <w:r>
        <w:rPr>
          <w:sz w:val="22"/>
          <w:szCs w:val="22"/>
        </w:rPr>
        <w:t xml:space="preserve"> groups</w:t>
      </w:r>
      <w:r w:rsidR="00BD0998">
        <w:rPr>
          <w:sz w:val="22"/>
          <w:szCs w:val="22"/>
        </w:rPr>
        <w:t xml:space="preserve">. </w:t>
      </w:r>
      <w:r w:rsidR="0030587B">
        <w:rPr>
          <w:sz w:val="22"/>
          <w:szCs w:val="22"/>
        </w:rPr>
        <w:t xml:space="preserve">To be considered for award each </w:t>
      </w:r>
      <w:r w:rsidR="00E87394">
        <w:rPr>
          <w:sz w:val="22"/>
          <w:szCs w:val="22"/>
        </w:rPr>
        <w:t>g</w:t>
      </w:r>
      <w:r w:rsidR="00BD0998">
        <w:rPr>
          <w:sz w:val="22"/>
          <w:szCs w:val="22"/>
        </w:rPr>
        <w:t xml:space="preserve">roup </w:t>
      </w:r>
      <w:r w:rsidR="00E87394">
        <w:rPr>
          <w:sz w:val="22"/>
          <w:szCs w:val="22"/>
        </w:rPr>
        <w:t xml:space="preserve">and specified number of line items within that group </w:t>
      </w:r>
      <w:r w:rsidR="0030587B">
        <w:rPr>
          <w:sz w:val="22"/>
          <w:szCs w:val="22"/>
        </w:rPr>
        <w:t>are to be bid as detailed below:</w:t>
      </w:r>
    </w:p>
    <w:p w14:paraId="0E46E02D" w14:textId="77777777" w:rsidR="0030587B" w:rsidRDefault="0030587B" w:rsidP="00333A26">
      <w:pPr>
        <w:pStyle w:val="BodyText"/>
        <w:ind w:left="0"/>
        <w:rPr>
          <w:sz w:val="22"/>
          <w:szCs w:val="22"/>
        </w:rPr>
      </w:pPr>
    </w:p>
    <w:p w14:paraId="2A827705" w14:textId="77777777" w:rsidR="00DC12BF" w:rsidRDefault="00BD0998" w:rsidP="00E87394">
      <w:pPr>
        <w:pStyle w:val="BodyText"/>
        <w:ind w:left="1440" w:firstLine="720"/>
        <w:rPr>
          <w:sz w:val="22"/>
          <w:szCs w:val="22"/>
        </w:rPr>
      </w:pPr>
      <w:r w:rsidRPr="00DC12BF">
        <w:rPr>
          <w:b/>
          <w:bCs/>
          <w:sz w:val="22"/>
          <w:szCs w:val="22"/>
        </w:rPr>
        <w:t>Group</w:t>
      </w:r>
      <w:r>
        <w:rPr>
          <w:sz w:val="22"/>
          <w:szCs w:val="22"/>
        </w:rPr>
        <w:t xml:space="preserve"> </w:t>
      </w:r>
      <w:r w:rsidRPr="00DC12BF">
        <w:rPr>
          <w:b/>
          <w:bCs/>
          <w:sz w:val="22"/>
          <w:szCs w:val="22"/>
        </w:rPr>
        <w:t>1</w:t>
      </w:r>
      <w:r>
        <w:rPr>
          <w:sz w:val="22"/>
          <w:szCs w:val="22"/>
        </w:rPr>
        <w:t xml:space="preserve"> includes Lines 1 and 2</w:t>
      </w:r>
    </w:p>
    <w:p w14:paraId="34BF7668" w14:textId="77777777" w:rsidR="00DC12BF" w:rsidRDefault="00BD0998" w:rsidP="00E87394">
      <w:pPr>
        <w:pStyle w:val="BodyText"/>
        <w:ind w:left="1440" w:firstLine="720"/>
        <w:rPr>
          <w:sz w:val="22"/>
          <w:szCs w:val="22"/>
        </w:rPr>
      </w:pPr>
      <w:r w:rsidRPr="00DC12BF">
        <w:rPr>
          <w:b/>
          <w:bCs/>
          <w:sz w:val="22"/>
          <w:szCs w:val="22"/>
        </w:rPr>
        <w:t>Group</w:t>
      </w:r>
      <w:r>
        <w:rPr>
          <w:sz w:val="22"/>
          <w:szCs w:val="22"/>
        </w:rPr>
        <w:t xml:space="preserve"> </w:t>
      </w:r>
      <w:r w:rsidRPr="00DC12BF">
        <w:rPr>
          <w:b/>
          <w:bCs/>
          <w:sz w:val="22"/>
          <w:szCs w:val="22"/>
        </w:rPr>
        <w:t>2</w:t>
      </w:r>
      <w:r>
        <w:rPr>
          <w:sz w:val="22"/>
          <w:szCs w:val="22"/>
        </w:rPr>
        <w:t xml:space="preserve"> includes Lines 3 and 4</w:t>
      </w:r>
    </w:p>
    <w:p w14:paraId="3E1EBD75" w14:textId="77777777" w:rsidR="00DC12BF" w:rsidRDefault="00BD0998" w:rsidP="00E87394">
      <w:pPr>
        <w:pStyle w:val="BodyText"/>
        <w:ind w:left="1440" w:firstLine="720"/>
        <w:rPr>
          <w:sz w:val="22"/>
          <w:szCs w:val="22"/>
        </w:rPr>
      </w:pPr>
      <w:r w:rsidRPr="00DC12BF">
        <w:rPr>
          <w:b/>
          <w:bCs/>
          <w:sz w:val="22"/>
          <w:szCs w:val="22"/>
        </w:rPr>
        <w:t>Group 3</w:t>
      </w:r>
      <w:r>
        <w:rPr>
          <w:sz w:val="22"/>
          <w:szCs w:val="22"/>
        </w:rPr>
        <w:t xml:space="preserve"> includes Lines</w:t>
      </w:r>
      <w:r w:rsidR="00DC12BF">
        <w:rPr>
          <w:sz w:val="22"/>
          <w:szCs w:val="22"/>
        </w:rPr>
        <w:t xml:space="preserve"> 5 and 6</w:t>
      </w:r>
    </w:p>
    <w:p w14:paraId="1DD4ADF2" w14:textId="77777777" w:rsidR="00DC12BF" w:rsidRDefault="00DC12BF" w:rsidP="00E87394">
      <w:pPr>
        <w:pStyle w:val="BodyText"/>
        <w:ind w:left="1440" w:firstLine="720"/>
        <w:rPr>
          <w:sz w:val="22"/>
          <w:szCs w:val="22"/>
        </w:rPr>
      </w:pPr>
      <w:r w:rsidRPr="00E87394">
        <w:rPr>
          <w:b/>
          <w:bCs/>
          <w:sz w:val="22"/>
          <w:szCs w:val="22"/>
        </w:rPr>
        <w:t>Group 4</w:t>
      </w:r>
      <w:r>
        <w:rPr>
          <w:sz w:val="22"/>
          <w:szCs w:val="22"/>
        </w:rPr>
        <w:t xml:space="preserve"> includes Lines 7 through 10</w:t>
      </w:r>
    </w:p>
    <w:p w14:paraId="69389E82" w14:textId="77777777" w:rsidR="00DC12BF" w:rsidRDefault="00DC12BF" w:rsidP="00E87394">
      <w:pPr>
        <w:pStyle w:val="BodyText"/>
        <w:ind w:left="1440" w:firstLine="720"/>
        <w:rPr>
          <w:sz w:val="22"/>
          <w:szCs w:val="22"/>
        </w:rPr>
      </w:pPr>
      <w:r w:rsidRPr="00E87394">
        <w:rPr>
          <w:b/>
          <w:bCs/>
          <w:sz w:val="22"/>
          <w:szCs w:val="22"/>
        </w:rPr>
        <w:t>Group 5</w:t>
      </w:r>
      <w:r>
        <w:rPr>
          <w:sz w:val="22"/>
          <w:szCs w:val="22"/>
        </w:rPr>
        <w:t xml:space="preserve"> includes Lines 11 through 13</w:t>
      </w:r>
    </w:p>
    <w:p w14:paraId="5A87C20F" w14:textId="1854125E" w:rsidR="00E87394" w:rsidRDefault="00E87394" w:rsidP="00E87394">
      <w:pPr>
        <w:pStyle w:val="BodyText"/>
        <w:ind w:left="1440" w:firstLine="720"/>
        <w:rPr>
          <w:sz w:val="22"/>
          <w:szCs w:val="22"/>
        </w:rPr>
      </w:pPr>
      <w:r w:rsidRPr="00E87394">
        <w:rPr>
          <w:b/>
          <w:bCs/>
          <w:sz w:val="22"/>
          <w:szCs w:val="22"/>
        </w:rPr>
        <w:t>Group 6</w:t>
      </w:r>
      <w:r>
        <w:rPr>
          <w:sz w:val="22"/>
          <w:szCs w:val="22"/>
        </w:rPr>
        <w:t xml:space="preserve"> includes Lines 14 through 17</w:t>
      </w:r>
    </w:p>
    <w:p w14:paraId="252CA50C" w14:textId="6AC476E3" w:rsidR="00E87394" w:rsidRDefault="00E87394" w:rsidP="00E87394">
      <w:pPr>
        <w:pStyle w:val="BodyText"/>
        <w:ind w:left="1440" w:firstLine="720"/>
        <w:rPr>
          <w:sz w:val="22"/>
          <w:szCs w:val="22"/>
        </w:rPr>
      </w:pPr>
      <w:r w:rsidRPr="00E87394">
        <w:rPr>
          <w:b/>
          <w:bCs/>
          <w:sz w:val="22"/>
          <w:szCs w:val="22"/>
        </w:rPr>
        <w:t>Group 7</w:t>
      </w:r>
      <w:r>
        <w:rPr>
          <w:sz w:val="22"/>
          <w:szCs w:val="22"/>
        </w:rPr>
        <w:t xml:space="preserve"> includes Lines 18 through 22</w:t>
      </w:r>
    </w:p>
    <w:p w14:paraId="3CC490E8" w14:textId="17C770B9" w:rsidR="00E87394" w:rsidRDefault="00E87394" w:rsidP="00E87394">
      <w:pPr>
        <w:pStyle w:val="BodyText"/>
        <w:ind w:left="1440" w:firstLine="720"/>
        <w:rPr>
          <w:sz w:val="22"/>
          <w:szCs w:val="22"/>
        </w:rPr>
      </w:pPr>
      <w:r w:rsidRPr="00E87394">
        <w:rPr>
          <w:b/>
          <w:bCs/>
          <w:sz w:val="22"/>
          <w:szCs w:val="22"/>
        </w:rPr>
        <w:t>Group 8</w:t>
      </w:r>
      <w:r>
        <w:rPr>
          <w:sz w:val="22"/>
          <w:szCs w:val="22"/>
        </w:rPr>
        <w:t xml:space="preserve"> includes Lines 23 through 26</w:t>
      </w:r>
    </w:p>
    <w:p w14:paraId="0F66E93B" w14:textId="77777777" w:rsidR="00E87394" w:rsidRDefault="00E87394" w:rsidP="00E87394">
      <w:pPr>
        <w:pStyle w:val="BodyText"/>
        <w:ind w:left="1440" w:firstLine="720"/>
        <w:rPr>
          <w:sz w:val="22"/>
          <w:szCs w:val="22"/>
        </w:rPr>
      </w:pPr>
      <w:r w:rsidRPr="00E87394">
        <w:rPr>
          <w:b/>
          <w:bCs/>
          <w:sz w:val="22"/>
          <w:szCs w:val="22"/>
        </w:rPr>
        <w:t>Group 9</w:t>
      </w:r>
      <w:r>
        <w:rPr>
          <w:sz w:val="22"/>
          <w:szCs w:val="22"/>
        </w:rPr>
        <w:t xml:space="preserve"> includes Lines 27 and 28</w:t>
      </w:r>
    </w:p>
    <w:p w14:paraId="4EC22C1A" w14:textId="6766BCDB" w:rsidR="00E87394" w:rsidRDefault="00E87394" w:rsidP="00E87394">
      <w:pPr>
        <w:pStyle w:val="BodyText"/>
        <w:ind w:left="1440" w:firstLine="720"/>
        <w:rPr>
          <w:sz w:val="22"/>
          <w:szCs w:val="22"/>
        </w:rPr>
      </w:pPr>
      <w:r w:rsidRPr="00E87394">
        <w:rPr>
          <w:b/>
          <w:bCs/>
          <w:sz w:val="22"/>
          <w:szCs w:val="22"/>
        </w:rPr>
        <w:t>Group 10</w:t>
      </w:r>
      <w:r>
        <w:rPr>
          <w:sz w:val="22"/>
          <w:szCs w:val="22"/>
        </w:rPr>
        <w:t xml:space="preserve"> includes Lines 29 and 30</w:t>
      </w:r>
    </w:p>
    <w:p w14:paraId="241A53DE" w14:textId="7D64DD4E" w:rsidR="00E87394" w:rsidRDefault="00E87394" w:rsidP="00A71C77">
      <w:pPr>
        <w:pStyle w:val="BodyText"/>
        <w:ind w:left="2160"/>
        <w:rPr>
          <w:sz w:val="22"/>
          <w:szCs w:val="22"/>
        </w:rPr>
      </w:pPr>
      <w:r w:rsidRPr="00E87394">
        <w:rPr>
          <w:b/>
          <w:bCs/>
          <w:sz w:val="22"/>
          <w:szCs w:val="22"/>
        </w:rPr>
        <w:t>Group 11</w:t>
      </w:r>
      <w:r>
        <w:rPr>
          <w:sz w:val="22"/>
          <w:szCs w:val="22"/>
        </w:rPr>
        <w:t xml:space="preserve"> includes Lines 31 and 32</w:t>
      </w:r>
      <w:r w:rsidR="00A71C77">
        <w:rPr>
          <w:sz w:val="22"/>
          <w:szCs w:val="22"/>
        </w:rPr>
        <w:t xml:space="preserve"> </w:t>
      </w:r>
    </w:p>
    <w:p w14:paraId="6CC17DC1" w14:textId="77777777" w:rsidR="00DC12BF" w:rsidRDefault="00DC12BF" w:rsidP="00333A26">
      <w:pPr>
        <w:pStyle w:val="BodyText"/>
        <w:ind w:left="0"/>
        <w:rPr>
          <w:sz w:val="22"/>
          <w:szCs w:val="22"/>
        </w:rPr>
      </w:pPr>
    </w:p>
    <w:p w14:paraId="2BA14CCA" w14:textId="3600F5AA" w:rsidR="00CC7634" w:rsidRDefault="005F3BBC" w:rsidP="00333A26">
      <w:pPr>
        <w:pStyle w:val="BodyText"/>
        <w:ind w:left="0"/>
        <w:rPr>
          <w:sz w:val="22"/>
          <w:szCs w:val="22"/>
        </w:rPr>
      </w:pPr>
      <w:r>
        <w:rPr>
          <w:sz w:val="22"/>
          <w:szCs w:val="22"/>
        </w:rPr>
        <w:t xml:space="preserve">Each group will be </w:t>
      </w:r>
      <w:proofErr w:type="gramStart"/>
      <w:r w:rsidR="00A71C77">
        <w:rPr>
          <w:sz w:val="22"/>
          <w:szCs w:val="22"/>
        </w:rPr>
        <w:t>single-awarded</w:t>
      </w:r>
      <w:proofErr w:type="gramEnd"/>
      <w:r>
        <w:rPr>
          <w:sz w:val="22"/>
          <w:szCs w:val="22"/>
        </w:rPr>
        <w:t xml:space="preserve"> to the lowest responsible bidder.</w:t>
      </w:r>
      <w:r w:rsidR="00556E13">
        <w:rPr>
          <w:sz w:val="22"/>
          <w:szCs w:val="22"/>
        </w:rPr>
        <w:t xml:space="preserve">  </w:t>
      </w:r>
      <w:r w:rsidR="00AA761C">
        <w:rPr>
          <w:sz w:val="22"/>
          <w:szCs w:val="22"/>
        </w:rPr>
        <w:t xml:space="preserve">Please note </w:t>
      </w:r>
      <w:r w:rsidR="00F55C4E">
        <w:rPr>
          <w:sz w:val="22"/>
          <w:szCs w:val="22"/>
        </w:rPr>
        <w:t>Freight</w:t>
      </w:r>
      <w:r w:rsidR="00AA761C">
        <w:rPr>
          <w:sz w:val="22"/>
          <w:szCs w:val="22"/>
        </w:rPr>
        <w:t xml:space="preserve"> is a non-bid item</w:t>
      </w:r>
      <w:r w:rsidR="00F55C4E">
        <w:rPr>
          <w:sz w:val="22"/>
          <w:szCs w:val="22"/>
        </w:rPr>
        <w:t>.</w:t>
      </w:r>
    </w:p>
    <w:p w14:paraId="11A0AC00" w14:textId="77777777" w:rsidR="00BD0998" w:rsidRDefault="00BD0998" w:rsidP="00333A26">
      <w:pPr>
        <w:pStyle w:val="BodyText"/>
        <w:ind w:left="0"/>
        <w:rPr>
          <w:sz w:val="22"/>
          <w:szCs w:val="22"/>
        </w:rPr>
      </w:pPr>
    </w:p>
    <w:p w14:paraId="203E929B" w14:textId="1CAA9989" w:rsidR="00CC7634" w:rsidRPr="00BB78E2" w:rsidRDefault="00403389" w:rsidP="00333A26">
      <w:pPr>
        <w:pStyle w:val="Heading1"/>
        <w:spacing w:before="1"/>
        <w:ind w:left="0"/>
        <w:rPr>
          <w:sz w:val="22"/>
          <w:szCs w:val="22"/>
        </w:rPr>
      </w:pPr>
      <w:r w:rsidRPr="00BB78E2">
        <w:rPr>
          <w:sz w:val="22"/>
          <w:szCs w:val="22"/>
        </w:rPr>
        <w:t>Bid submission instructions:</w:t>
      </w:r>
    </w:p>
    <w:p w14:paraId="1B8AFB29" w14:textId="24C899AF" w:rsidR="00CC7634" w:rsidRDefault="0021193F" w:rsidP="00333A26">
      <w:pPr>
        <w:pStyle w:val="BodyText"/>
        <w:ind w:left="0" w:right="127"/>
        <w:rPr>
          <w:sz w:val="22"/>
          <w:szCs w:val="22"/>
        </w:rPr>
      </w:pPr>
      <w:r w:rsidRPr="00BB78E2">
        <w:rPr>
          <w:sz w:val="22"/>
          <w:szCs w:val="22"/>
        </w:rPr>
        <w:t xml:space="preserve">Bids must be submitted to </w:t>
      </w:r>
      <w:hyperlink r:id="rId9" w:history="1">
        <w:r w:rsidRPr="00BB78E2">
          <w:rPr>
            <w:rStyle w:val="Hyperlink"/>
            <w:sz w:val="22"/>
            <w:szCs w:val="22"/>
          </w:rPr>
          <w:t>bids@dot.state.al.us</w:t>
        </w:r>
      </w:hyperlink>
      <w:r w:rsidR="00BB78E2" w:rsidRPr="00BB78E2">
        <w:rPr>
          <w:sz w:val="22"/>
          <w:szCs w:val="22"/>
        </w:rPr>
        <w:t xml:space="preserve"> by </w:t>
      </w:r>
      <w:r w:rsidR="00A71C77">
        <w:rPr>
          <w:sz w:val="22"/>
          <w:szCs w:val="22"/>
        </w:rPr>
        <w:t>5:00 pm</w:t>
      </w:r>
      <w:r w:rsidR="00BB78E2" w:rsidRPr="00BB78E2">
        <w:rPr>
          <w:sz w:val="22"/>
          <w:szCs w:val="22"/>
        </w:rPr>
        <w:t xml:space="preserve"> on the date listed on the ALDOT</w:t>
      </w:r>
      <w:r w:rsidR="00795F77">
        <w:rPr>
          <w:sz w:val="22"/>
          <w:szCs w:val="22"/>
        </w:rPr>
        <w:t xml:space="preserve"> Procurement of Supplies and Nonprofessional </w:t>
      </w:r>
      <w:r w:rsidR="007B56FF">
        <w:rPr>
          <w:sz w:val="22"/>
          <w:szCs w:val="22"/>
        </w:rPr>
        <w:t>Services</w:t>
      </w:r>
      <w:r w:rsidR="00BB78E2" w:rsidRPr="00BB78E2">
        <w:rPr>
          <w:sz w:val="22"/>
          <w:szCs w:val="22"/>
        </w:rPr>
        <w:t xml:space="preserve"> web</w:t>
      </w:r>
      <w:r w:rsidR="007B56FF">
        <w:rPr>
          <w:sz w:val="22"/>
          <w:szCs w:val="22"/>
        </w:rPr>
        <w:t>page</w:t>
      </w:r>
      <w:r w:rsidR="00BB78E2" w:rsidRPr="00BB78E2">
        <w:rPr>
          <w:sz w:val="22"/>
          <w:szCs w:val="22"/>
        </w:rPr>
        <w:t>.</w:t>
      </w:r>
    </w:p>
    <w:p w14:paraId="5C436B16" w14:textId="7A8D9472" w:rsidR="00617393" w:rsidRDefault="007B56FF" w:rsidP="00333A26">
      <w:pPr>
        <w:pStyle w:val="BodyText"/>
        <w:ind w:left="0" w:right="127"/>
        <w:rPr>
          <w:sz w:val="22"/>
          <w:szCs w:val="22"/>
        </w:rPr>
      </w:pPr>
      <w:r>
        <w:rPr>
          <w:sz w:val="22"/>
          <w:szCs w:val="22"/>
        </w:rPr>
        <w:t>Link</w:t>
      </w:r>
      <w:r w:rsidR="00617393">
        <w:rPr>
          <w:sz w:val="22"/>
          <w:szCs w:val="22"/>
        </w:rPr>
        <w:t xml:space="preserve"> to ALDOT’s Procurement Webpage</w:t>
      </w:r>
    </w:p>
    <w:p w14:paraId="449F7613" w14:textId="6486EDBE" w:rsidR="007B56FF" w:rsidRDefault="004002D1" w:rsidP="00333A26">
      <w:pPr>
        <w:pStyle w:val="BodyText"/>
        <w:ind w:left="0" w:right="127"/>
        <w:rPr>
          <w:sz w:val="22"/>
          <w:szCs w:val="22"/>
        </w:rPr>
      </w:pPr>
      <w:hyperlink r:id="rId10" w:history="1">
        <w:r w:rsidRPr="004002D1">
          <w:rPr>
            <w:color w:val="0000FF"/>
            <w:sz w:val="22"/>
            <w:szCs w:val="22"/>
            <w:u w:val="single"/>
          </w:rPr>
          <w:t>Procurement of Supplies and Services</w:t>
        </w:r>
      </w:hyperlink>
    </w:p>
    <w:p w14:paraId="4B23CC15" w14:textId="77777777" w:rsidR="00CC7634" w:rsidRPr="00BB78E2" w:rsidRDefault="00CC7634" w:rsidP="00333A26">
      <w:pPr>
        <w:pStyle w:val="BodyText"/>
        <w:spacing w:before="1"/>
        <w:ind w:left="0"/>
        <w:rPr>
          <w:sz w:val="22"/>
          <w:szCs w:val="22"/>
        </w:rPr>
      </w:pPr>
    </w:p>
    <w:p w14:paraId="37592B21" w14:textId="77777777" w:rsidR="00CC7634" w:rsidRPr="00BB78E2" w:rsidRDefault="00403389" w:rsidP="00333A26">
      <w:pPr>
        <w:pStyle w:val="Heading1"/>
        <w:ind w:left="0"/>
        <w:rPr>
          <w:sz w:val="22"/>
          <w:szCs w:val="22"/>
        </w:rPr>
      </w:pPr>
      <w:r w:rsidRPr="00BB78E2">
        <w:rPr>
          <w:sz w:val="22"/>
          <w:szCs w:val="22"/>
        </w:rPr>
        <w:t>Contract period:</w:t>
      </w:r>
    </w:p>
    <w:p w14:paraId="72D8613C" w14:textId="1A3D0243" w:rsidR="00CC7634" w:rsidRPr="00BB78E2" w:rsidRDefault="00403389" w:rsidP="00333A26">
      <w:pPr>
        <w:pStyle w:val="BodyText"/>
        <w:spacing w:before="1"/>
        <w:ind w:left="0" w:right="145"/>
        <w:rPr>
          <w:sz w:val="22"/>
          <w:szCs w:val="22"/>
        </w:rPr>
      </w:pPr>
      <w:r w:rsidRPr="00BB78E2">
        <w:rPr>
          <w:sz w:val="22"/>
          <w:szCs w:val="22"/>
        </w:rPr>
        <w:t xml:space="preserve">Establish a </w:t>
      </w:r>
      <w:r w:rsidR="00BB78E2" w:rsidRPr="00BB78E2">
        <w:rPr>
          <w:sz w:val="22"/>
          <w:szCs w:val="22"/>
        </w:rPr>
        <w:t>12-month</w:t>
      </w:r>
      <w:r w:rsidRPr="00BB78E2">
        <w:rPr>
          <w:sz w:val="22"/>
          <w:szCs w:val="22"/>
        </w:rPr>
        <w:t xml:space="preserve"> contract with an option to extend for a second, third, fourth, and fifth </w:t>
      </w:r>
      <w:r w:rsidR="00BB78E2" w:rsidRPr="00BB78E2">
        <w:rPr>
          <w:sz w:val="22"/>
          <w:szCs w:val="22"/>
        </w:rPr>
        <w:t>12-month</w:t>
      </w:r>
      <w:r w:rsidRPr="00BB78E2">
        <w:rPr>
          <w:sz w:val="22"/>
          <w:szCs w:val="22"/>
        </w:rPr>
        <w:t xml:space="preserve"> period with the same pricing, terms and conditions. The second, third, fourth, or fifth </w:t>
      </w:r>
      <w:r w:rsidR="00BB78E2" w:rsidRPr="00BB78E2">
        <w:rPr>
          <w:sz w:val="22"/>
          <w:szCs w:val="22"/>
        </w:rPr>
        <w:t>12-month</w:t>
      </w:r>
      <w:r w:rsidRPr="00BB78E2">
        <w:rPr>
          <w:sz w:val="22"/>
          <w:szCs w:val="22"/>
        </w:rPr>
        <w:t xml:space="preserve"> period, if agreed by both parties, would begin the day after the first, second, third, or fourth </w:t>
      </w:r>
      <w:r w:rsidR="00BB78E2" w:rsidRPr="00BB78E2">
        <w:rPr>
          <w:sz w:val="22"/>
          <w:szCs w:val="22"/>
        </w:rPr>
        <w:t>12-month</w:t>
      </w:r>
      <w:r w:rsidRPr="00BB78E2">
        <w:rPr>
          <w:sz w:val="22"/>
          <w:szCs w:val="22"/>
        </w:rPr>
        <w:t xml:space="preserve"> period expires. Any successive extension must have written approval of both the state and vendor no later than 30 days prior to expiration of the previous </w:t>
      </w:r>
      <w:r w:rsidR="00BB78E2" w:rsidRPr="00BB78E2">
        <w:rPr>
          <w:sz w:val="22"/>
          <w:szCs w:val="22"/>
        </w:rPr>
        <w:t>12-month</w:t>
      </w:r>
      <w:r w:rsidRPr="00BB78E2">
        <w:rPr>
          <w:sz w:val="22"/>
          <w:szCs w:val="22"/>
        </w:rPr>
        <w:t xml:space="preserve"> period.</w:t>
      </w:r>
    </w:p>
    <w:p w14:paraId="7217293D" w14:textId="77777777" w:rsidR="00CC7634" w:rsidRPr="00BB78E2" w:rsidRDefault="00CC7634" w:rsidP="00333A26">
      <w:pPr>
        <w:pStyle w:val="BodyText"/>
        <w:ind w:left="0"/>
        <w:rPr>
          <w:sz w:val="22"/>
          <w:szCs w:val="22"/>
        </w:rPr>
      </w:pPr>
    </w:p>
    <w:p w14:paraId="7D95FF78" w14:textId="272AA0EF" w:rsidR="00CC7634" w:rsidRPr="00BB78E2" w:rsidRDefault="00403389" w:rsidP="00333A26">
      <w:pPr>
        <w:pStyle w:val="BodyText"/>
        <w:ind w:left="0" w:right="179"/>
        <w:rPr>
          <w:sz w:val="22"/>
          <w:szCs w:val="22"/>
        </w:rPr>
      </w:pPr>
      <w:r w:rsidRPr="00BB78E2">
        <w:rPr>
          <w:b/>
          <w:sz w:val="22"/>
          <w:szCs w:val="22"/>
        </w:rPr>
        <w:t xml:space="preserve">Indemnity: </w:t>
      </w:r>
      <w:r w:rsidR="00C25220">
        <w:rPr>
          <w:sz w:val="22"/>
          <w:szCs w:val="22"/>
        </w:rPr>
        <w:t>Vendor</w:t>
      </w:r>
      <w:r w:rsidRPr="00BB78E2">
        <w:rPr>
          <w:sz w:val="22"/>
          <w:szCs w:val="22"/>
        </w:rPr>
        <w:t xml:space="preserve"> shall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7E769799" w14:textId="77777777" w:rsidR="00CC7634" w:rsidRPr="00BB78E2" w:rsidRDefault="00CC7634" w:rsidP="00333A26">
      <w:pPr>
        <w:pStyle w:val="BodyText"/>
        <w:spacing w:before="10"/>
        <w:ind w:left="0"/>
        <w:rPr>
          <w:sz w:val="22"/>
          <w:szCs w:val="22"/>
        </w:rPr>
      </w:pPr>
    </w:p>
    <w:p w14:paraId="26A2D646" w14:textId="77777777" w:rsidR="00CC7634" w:rsidRPr="00BB78E2" w:rsidRDefault="00403389" w:rsidP="00333A26">
      <w:pPr>
        <w:pStyle w:val="Heading1"/>
        <w:spacing w:before="1"/>
        <w:ind w:left="0"/>
        <w:rPr>
          <w:sz w:val="22"/>
          <w:szCs w:val="22"/>
        </w:rPr>
      </w:pPr>
      <w:r w:rsidRPr="00BB78E2">
        <w:rPr>
          <w:sz w:val="22"/>
          <w:szCs w:val="22"/>
        </w:rPr>
        <w:t>Non-appropriation of funds:</w:t>
      </w:r>
    </w:p>
    <w:p w14:paraId="7759F34A" w14:textId="255AD8EF" w:rsidR="00E87394" w:rsidRDefault="00403389" w:rsidP="00E87394">
      <w:pPr>
        <w:pStyle w:val="BodyText"/>
        <w:ind w:left="0" w:right="138"/>
        <w:rPr>
          <w:sz w:val="22"/>
          <w:szCs w:val="22"/>
        </w:rPr>
      </w:pPr>
      <w:r w:rsidRPr="00BB78E2">
        <w:rPr>
          <w:sz w:val="22"/>
          <w:szCs w:val="22"/>
        </w:rPr>
        <w:t xml:space="preserve">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w:t>
      </w:r>
      <w:proofErr w:type="gramStart"/>
      <w:r w:rsidRPr="00BB78E2">
        <w:rPr>
          <w:sz w:val="22"/>
          <w:szCs w:val="22"/>
        </w:rPr>
        <w:t>damages</w:t>
      </w:r>
      <w:proofErr w:type="gramEnd"/>
      <w:r w:rsidRPr="00BB78E2">
        <w:rPr>
          <w:sz w:val="22"/>
          <w:szCs w:val="22"/>
        </w:rPr>
        <w:t xml:space="preserve"> shall accrue to the state as a result. The State will not incur liability beyond the payment of accrued agreement payment.</w:t>
      </w:r>
    </w:p>
    <w:p w14:paraId="43BB8034" w14:textId="77777777" w:rsidR="001957F3" w:rsidRPr="00BB78E2" w:rsidRDefault="001957F3" w:rsidP="00E87394">
      <w:pPr>
        <w:pStyle w:val="BodyText"/>
        <w:ind w:left="0" w:right="138"/>
        <w:rPr>
          <w:sz w:val="22"/>
          <w:szCs w:val="22"/>
        </w:rPr>
      </w:pPr>
    </w:p>
    <w:p w14:paraId="6DD1FDE9" w14:textId="77777777" w:rsidR="00CC7634" w:rsidRPr="00BB78E2" w:rsidRDefault="00403389" w:rsidP="00333A26">
      <w:pPr>
        <w:pStyle w:val="Heading1"/>
        <w:ind w:left="0"/>
        <w:rPr>
          <w:sz w:val="22"/>
          <w:szCs w:val="22"/>
        </w:rPr>
      </w:pPr>
      <w:proofErr w:type="gramStart"/>
      <w:r w:rsidRPr="00BB78E2">
        <w:rPr>
          <w:sz w:val="22"/>
          <w:szCs w:val="22"/>
        </w:rPr>
        <w:t>Proration</w:t>
      </w:r>
      <w:proofErr w:type="gramEnd"/>
      <w:r w:rsidRPr="00BB78E2">
        <w:rPr>
          <w:sz w:val="22"/>
          <w:szCs w:val="22"/>
        </w:rPr>
        <w:t>:</w:t>
      </w:r>
    </w:p>
    <w:p w14:paraId="2C06D86B" w14:textId="77777777" w:rsidR="00CC7634" w:rsidRPr="00BB78E2" w:rsidRDefault="00403389" w:rsidP="00333A26">
      <w:pPr>
        <w:pStyle w:val="BodyText"/>
        <w:spacing w:before="1"/>
        <w:ind w:left="0" w:right="122"/>
        <w:rPr>
          <w:sz w:val="22"/>
          <w:szCs w:val="22"/>
        </w:rPr>
      </w:pPr>
      <w:r w:rsidRPr="00BB78E2">
        <w:rPr>
          <w:sz w:val="22"/>
          <w:szCs w:val="22"/>
        </w:rPr>
        <w:t>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contractor shall have the option, in addition to the other remedies of the contract, of renegotiating the contract (extending or changing payment terms or amounts) or terminating the contract.</w:t>
      </w:r>
    </w:p>
    <w:p w14:paraId="1DA9559E" w14:textId="77777777" w:rsidR="00CC7634" w:rsidRPr="00BB78E2" w:rsidRDefault="00CC7634" w:rsidP="00333A26">
      <w:pPr>
        <w:pStyle w:val="BodyText"/>
        <w:ind w:left="0"/>
        <w:rPr>
          <w:sz w:val="22"/>
          <w:szCs w:val="22"/>
        </w:rPr>
      </w:pPr>
    </w:p>
    <w:p w14:paraId="04465296" w14:textId="77777777" w:rsidR="00CC7634" w:rsidRPr="00BB78E2" w:rsidRDefault="00403389" w:rsidP="00333A26">
      <w:pPr>
        <w:pStyle w:val="Heading1"/>
        <w:spacing w:line="183" w:lineRule="exact"/>
        <w:ind w:left="0"/>
        <w:rPr>
          <w:sz w:val="22"/>
          <w:szCs w:val="22"/>
        </w:rPr>
      </w:pPr>
      <w:r w:rsidRPr="00BB78E2">
        <w:rPr>
          <w:sz w:val="22"/>
          <w:szCs w:val="22"/>
        </w:rPr>
        <w:t>Quantity:</w:t>
      </w:r>
    </w:p>
    <w:p w14:paraId="18DB0336" w14:textId="55FF6D6D" w:rsidR="00CC7634" w:rsidRPr="00BB78E2" w:rsidRDefault="00403389" w:rsidP="00333A26">
      <w:pPr>
        <w:pStyle w:val="BodyText"/>
        <w:ind w:left="0" w:right="122"/>
        <w:rPr>
          <w:sz w:val="22"/>
          <w:szCs w:val="22"/>
        </w:rPr>
      </w:pPr>
      <w:r w:rsidRPr="00BB78E2">
        <w:rPr>
          <w:sz w:val="22"/>
          <w:szCs w:val="22"/>
        </w:rPr>
        <w:t>The exact quantity of each item is unknown. The D</w:t>
      </w:r>
      <w:r w:rsidR="00BD69B7">
        <w:rPr>
          <w:sz w:val="22"/>
          <w:szCs w:val="22"/>
        </w:rPr>
        <w:t>epartment of Transportation</w:t>
      </w:r>
      <w:r w:rsidRPr="00BB78E2">
        <w:rPr>
          <w:sz w:val="22"/>
          <w:szCs w:val="22"/>
        </w:rPr>
        <w:t xml:space="preserve"> does not guarantee the State will buy any amount. Orders will be placed by the agency as needed and </w:t>
      </w:r>
      <w:r w:rsidR="00BB78E2" w:rsidRPr="00BB78E2">
        <w:rPr>
          <w:sz w:val="22"/>
          <w:szCs w:val="22"/>
        </w:rPr>
        <w:t>they will be given</w:t>
      </w:r>
      <w:r w:rsidRPr="00BB78E2">
        <w:rPr>
          <w:sz w:val="22"/>
          <w:szCs w:val="22"/>
        </w:rPr>
        <w:t xml:space="preserve"> complete shipping instructions.</w:t>
      </w:r>
    </w:p>
    <w:p w14:paraId="2516E35E" w14:textId="77777777" w:rsidR="00CC7634" w:rsidRDefault="00CC7634" w:rsidP="00333A26">
      <w:pPr>
        <w:pStyle w:val="BodyText"/>
        <w:spacing w:before="11"/>
        <w:ind w:left="0"/>
        <w:rPr>
          <w:sz w:val="22"/>
          <w:szCs w:val="22"/>
        </w:rPr>
      </w:pPr>
    </w:p>
    <w:p w14:paraId="384221DF" w14:textId="77777777" w:rsidR="00484FDB" w:rsidRPr="00484FDB" w:rsidRDefault="00484FDB" w:rsidP="00484FDB">
      <w:pPr>
        <w:pStyle w:val="Heading1"/>
        <w:ind w:left="0"/>
        <w:rPr>
          <w:sz w:val="22"/>
          <w:szCs w:val="22"/>
        </w:rPr>
      </w:pPr>
      <w:r w:rsidRPr="00484FDB">
        <w:rPr>
          <w:sz w:val="22"/>
          <w:szCs w:val="22"/>
        </w:rPr>
        <w:t>Price Escalation:</w:t>
      </w:r>
    </w:p>
    <w:p w14:paraId="5C1A2779" w14:textId="77777777" w:rsidR="00484FDB" w:rsidRPr="00F820EB" w:rsidRDefault="00484FDB" w:rsidP="00484FDB">
      <w:pPr>
        <w:pStyle w:val="Heading1"/>
        <w:ind w:left="0"/>
        <w:rPr>
          <w:b w:val="0"/>
          <w:bCs w:val="0"/>
          <w:sz w:val="22"/>
          <w:szCs w:val="22"/>
        </w:rPr>
      </w:pPr>
      <w:r w:rsidRPr="00F820EB">
        <w:rPr>
          <w:b w:val="0"/>
          <w:bCs w:val="0"/>
          <w:sz w:val="22"/>
          <w:szCs w:val="22"/>
        </w:rPr>
        <w:t>If, during</w:t>
      </w:r>
      <w:r>
        <w:rPr>
          <w:b w:val="0"/>
          <w:bCs w:val="0"/>
          <w:sz w:val="22"/>
          <w:szCs w:val="22"/>
        </w:rPr>
        <w:t xml:space="preserve"> the performance of this contract, the price of the material significantly increases, through no fault of the vendor, a price increase may be considered based upon product cost ONLY.  Documentation of the price increase is required </w:t>
      </w:r>
      <w:proofErr w:type="gramStart"/>
      <w:r>
        <w:rPr>
          <w:b w:val="0"/>
          <w:bCs w:val="0"/>
          <w:sz w:val="22"/>
          <w:szCs w:val="22"/>
        </w:rPr>
        <w:t>from</w:t>
      </w:r>
      <w:proofErr w:type="gramEnd"/>
      <w:r>
        <w:rPr>
          <w:b w:val="0"/>
          <w:bCs w:val="0"/>
          <w:sz w:val="22"/>
          <w:szCs w:val="22"/>
        </w:rPr>
        <w:t xml:space="preserve"> the manufacturer.  All price increases must be approved by both the state and the vendor in writing.  Any de-escalation in price shall be passed onto the state immediately while still meeting all specifications, terms, and conditions of the contract.  </w:t>
      </w:r>
    </w:p>
    <w:p w14:paraId="45C39623" w14:textId="77777777" w:rsidR="00966BEE" w:rsidRDefault="00966BEE" w:rsidP="00333A26">
      <w:pPr>
        <w:pStyle w:val="Heading1"/>
        <w:ind w:left="0"/>
        <w:rPr>
          <w:sz w:val="22"/>
          <w:szCs w:val="22"/>
        </w:rPr>
      </w:pPr>
    </w:p>
    <w:p w14:paraId="782CF18F" w14:textId="7B639B45" w:rsidR="00CC7634" w:rsidRPr="00BB78E2" w:rsidRDefault="00403389" w:rsidP="00333A26">
      <w:pPr>
        <w:pStyle w:val="Heading1"/>
        <w:ind w:left="0"/>
        <w:rPr>
          <w:sz w:val="22"/>
          <w:szCs w:val="22"/>
        </w:rPr>
      </w:pPr>
      <w:r w:rsidRPr="00BB78E2">
        <w:rPr>
          <w:sz w:val="22"/>
          <w:szCs w:val="22"/>
        </w:rPr>
        <w:t>Requested information:</w:t>
      </w:r>
    </w:p>
    <w:p w14:paraId="6F3BFD66" w14:textId="77777777" w:rsidR="00CC7634" w:rsidRPr="00BB78E2" w:rsidRDefault="00403389" w:rsidP="00333A26">
      <w:pPr>
        <w:pStyle w:val="BodyText"/>
        <w:spacing w:before="1"/>
        <w:ind w:left="0"/>
        <w:rPr>
          <w:sz w:val="22"/>
          <w:szCs w:val="22"/>
        </w:rPr>
      </w:pPr>
      <w:r w:rsidRPr="00BB78E2">
        <w:rPr>
          <w:sz w:val="22"/>
          <w:szCs w:val="22"/>
        </w:rPr>
        <w:t>Any additional information requested from a vendor must be furnished within five (5) days from receipt of request.</w:t>
      </w:r>
    </w:p>
    <w:p w14:paraId="52A14DA4" w14:textId="2555B770" w:rsidR="002C7B67" w:rsidRDefault="002C7B67" w:rsidP="00333A26">
      <w:pPr>
        <w:pStyle w:val="BodyText"/>
        <w:spacing w:before="11"/>
        <w:ind w:left="0"/>
        <w:rPr>
          <w:sz w:val="24"/>
          <w:szCs w:val="24"/>
        </w:rPr>
      </w:pPr>
    </w:p>
    <w:p w14:paraId="2F7CD2D5" w14:textId="77777777" w:rsidR="000A360E" w:rsidRDefault="000A360E" w:rsidP="00333A26">
      <w:pPr>
        <w:pStyle w:val="BodyText"/>
        <w:spacing w:before="11"/>
        <w:ind w:left="0"/>
      </w:pPr>
      <w:r w:rsidRPr="002C7B67">
        <w:rPr>
          <w:b/>
          <w:bCs/>
          <w:sz w:val="22"/>
          <w:szCs w:val="22"/>
        </w:rPr>
        <w:t>General Requirements</w:t>
      </w:r>
      <w:r>
        <w:t xml:space="preserve">: </w:t>
      </w:r>
    </w:p>
    <w:p w14:paraId="01BD058A" w14:textId="3B8477D2" w:rsidR="00333A26" w:rsidRDefault="007A28A7" w:rsidP="00333A26">
      <w:pPr>
        <w:pStyle w:val="BodyText"/>
        <w:spacing w:before="11"/>
        <w:ind w:left="0"/>
        <w:rPr>
          <w:sz w:val="22"/>
          <w:szCs w:val="22"/>
        </w:rPr>
      </w:pPr>
      <w:r w:rsidRPr="000179E4">
        <w:rPr>
          <w:sz w:val="22"/>
          <w:szCs w:val="22"/>
        </w:rPr>
        <w:t xml:space="preserve">Traffic Control Devices for Work Zones shall meet criteria in </w:t>
      </w:r>
      <w:r w:rsidR="00966BEE" w:rsidRPr="000179E4">
        <w:rPr>
          <w:sz w:val="22"/>
          <w:szCs w:val="22"/>
        </w:rPr>
        <w:t>the latest edition of</w:t>
      </w:r>
      <w:r w:rsidRPr="000179E4">
        <w:rPr>
          <w:sz w:val="22"/>
          <w:szCs w:val="22"/>
        </w:rPr>
        <w:t xml:space="preserve"> ALDOT Standard Specifications for Highway Construction, </w:t>
      </w:r>
    </w:p>
    <w:p w14:paraId="1889EE99" w14:textId="4B8A378E" w:rsidR="007A28A7" w:rsidRDefault="00424AB3" w:rsidP="00333A26">
      <w:pPr>
        <w:pStyle w:val="BodyText"/>
        <w:spacing w:before="11"/>
        <w:ind w:left="0"/>
        <w:rPr>
          <w:sz w:val="22"/>
          <w:szCs w:val="22"/>
        </w:rPr>
      </w:pPr>
      <w:r>
        <w:rPr>
          <w:sz w:val="22"/>
          <w:szCs w:val="22"/>
        </w:rPr>
        <w:t>Link to ALDOT’s Specifications Book below:</w:t>
      </w:r>
    </w:p>
    <w:p w14:paraId="4C384DB2" w14:textId="63BF3F69" w:rsidR="00424AB3" w:rsidRDefault="00424AB3" w:rsidP="00333A26">
      <w:pPr>
        <w:pStyle w:val="BodyText"/>
        <w:spacing w:before="11"/>
        <w:ind w:left="0"/>
        <w:rPr>
          <w:sz w:val="22"/>
          <w:szCs w:val="22"/>
        </w:rPr>
      </w:pPr>
      <w:hyperlink r:id="rId11" w:history="1">
        <w:r w:rsidRPr="00424AB3">
          <w:rPr>
            <w:color w:val="0000FF"/>
            <w:sz w:val="22"/>
            <w:szCs w:val="22"/>
            <w:u w:val="single"/>
          </w:rPr>
          <w:t>Microsoft Word - 2026 Spec Book</w:t>
        </w:r>
      </w:hyperlink>
    </w:p>
    <w:p w14:paraId="40EE353F" w14:textId="77777777" w:rsidR="007A28A7" w:rsidRPr="000179E4" w:rsidRDefault="007A28A7" w:rsidP="00333A26">
      <w:pPr>
        <w:pStyle w:val="BodyText"/>
        <w:spacing w:before="11"/>
        <w:ind w:left="0"/>
        <w:rPr>
          <w:sz w:val="22"/>
          <w:szCs w:val="22"/>
        </w:rPr>
      </w:pPr>
    </w:p>
    <w:p w14:paraId="2B1D3E54" w14:textId="4D857603" w:rsidR="00333A26" w:rsidRDefault="000179E4" w:rsidP="00333A26">
      <w:pPr>
        <w:pStyle w:val="BodyText"/>
        <w:spacing w:before="11"/>
        <w:ind w:left="0"/>
        <w:rPr>
          <w:sz w:val="22"/>
          <w:szCs w:val="22"/>
        </w:rPr>
      </w:pPr>
      <w:r w:rsidRPr="000179E4">
        <w:rPr>
          <w:sz w:val="22"/>
          <w:szCs w:val="22"/>
        </w:rPr>
        <w:t>Traffic Control Devices for Work Zones</w:t>
      </w:r>
      <w:r w:rsidRPr="005F3BBC">
        <w:rPr>
          <w:sz w:val="22"/>
          <w:szCs w:val="22"/>
        </w:rPr>
        <w:t xml:space="preserve"> </w:t>
      </w:r>
      <w:r w:rsidR="005F3BBC" w:rsidRPr="005F3BBC">
        <w:rPr>
          <w:sz w:val="22"/>
          <w:szCs w:val="22"/>
        </w:rPr>
        <w:t xml:space="preserve">shall be on the Alabama Department of Transportation (ALDOT) </w:t>
      </w:r>
      <w:r w:rsidR="00C25220">
        <w:rPr>
          <w:sz w:val="22"/>
          <w:szCs w:val="22"/>
        </w:rPr>
        <w:t>Materials, Sources and Devices with Special Acceptance Requirements Manual</w:t>
      </w:r>
      <w:r w:rsidR="005F3BBC" w:rsidRPr="005F3BBC">
        <w:rPr>
          <w:sz w:val="22"/>
          <w:szCs w:val="22"/>
        </w:rPr>
        <w:t>.</w:t>
      </w:r>
    </w:p>
    <w:p w14:paraId="125CF311" w14:textId="3714388E" w:rsidR="006A405E" w:rsidRDefault="006A405E" w:rsidP="00333A26">
      <w:pPr>
        <w:pStyle w:val="BodyText"/>
        <w:spacing w:before="11"/>
        <w:ind w:left="0"/>
        <w:rPr>
          <w:sz w:val="22"/>
          <w:szCs w:val="22"/>
        </w:rPr>
      </w:pPr>
      <w:r>
        <w:rPr>
          <w:sz w:val="22"/>
          <w:szCs w:val="22"/>
        </w:rPr>
        <w:t>Link to</w:t>
      </w:r>
      <w:r w:rsidR="00333A26">
        <w:rPr>
          <w:sz w:val="22"/>
          <w:szCs w:val="22"/>
        </w:rPr>
        <w:t xml:space="preserve"> ALDOT’s Materials, Sources and Devices with Special Acceptance Requirements Manual (QPL)</w:t>
      </w:r>
    </w:p>
    <w:p w14:paraId="09B0AEC0" w14:textId="731B9726" w:rsidR="006A405E" w:rsidRDefault="006A405E" w:rsidP="00333A26">
      <w:pPr>
        <w:pStyle w:val="BodyText"/>
        <w:spacing w:before="11"/>
        <w:ind w:left="0"/>
        <w:rPr>
          <w:sz w:val="22"/>
          <w:szCs w:val="22"/>
        </w:rPr>
      </w:pPr>
      <w:hyperlink r:id="rId12" w:history="1">
        <w:r w:rsidRPr="006A405E">
          <w:rPr>
            <w:color w:val="0000FF"/>
            <w:sz w:val="22"/>
            <w:szCs w:val="22"/>
            <w:u w:val="single"/>
          </w:rPr>
          <w:t>Materials, Sources and Devices</w:t>
        </w:r>
      </w:hyperlink>
    </w:p>
    <w:p w14:paraId="7F1FF7AE" w14:textId="77777777" w:rsidR="006A405E" w:rsidRPr="005F3BBC" w:rsidRDefault="006A405E" w:rsidP="00333A26">
      <w:pPr>
        <w:pStyle w:val="BodyText"/>
        <w:spacing w:before="11"/>
        <w:ind w:left="0"/>
        <w:rPr>
          <w:sz w:val="22"/>
          <w:szCs w:val="22"/>
        </w:rPr>
      </w:pPr>
    </w:p>
    <w:p w14:paraId="30FBDE33" w14:textId="77777777" w:rsidR="001957F3" w:rsidRDefault="001957F3" w:rsidP="00333A26">
      <w:pPr>
        <w:pStyle w:val="BodyText"/>
        <w:ind w:left="0"/>
        <w:rPr>
          <w:sz w:val="22"/>
          <w:szCs w:val="22"/>
        </w:rPr>
      </w:pPr>
    </w:p>
    <w:p w14:paraId="0566CD27" w14:textId="77777777" w:rsidR="001957F3" w:rsidRDefault="001957F3" w:rsidP="00333A26">
      <w:pPr>
        <w:pStyle w:val="BodyText"/>
        <w:ind w:left="0"/>
        <w:rPr>
          <w:sz w:val="22"/>
          <w:szCs w:val="22"/>
        </w:rPr>
      </w:pPr>
    </w:p>
    <w:p w14:paraId="62B113F0" w14:textId="49881A53" w:rsidR="000A360E" w:rsidRPr="008961BC" w:rsidRDefault="00B1793D" w:rsidP="00333A26">
      <w:pPr>
        <w:pStyle w:val="BodyText"/>
        <w:ind w:left="0"/>
        <w:rPr>
          <w:sz w:val="22"/>
          <w:szCs w:val="22"/>
        </w:rPr>
      </w:pPr>
      <w:r w:rsidRPr="005F3BBC">
        <w:rPr>
          <w:sz w:val="22"/>
          <w:szCs w:val="22"/>
        </w:rPr>
        <w:t xml:space="preserve">Traffic </w:t>
      </w:r>
      <w:r>
        <w:rPr>
          <w:sz w:val="22"/>
          <w:szCs w:val="22"/>
        </w:rPr>
        <w:t>Control Devices for Work Zones</w:t>
      </w:r>
      <w:r w:rsidRPr="005F3BBC">
        <w:rPr>
          <w:sz w:val="22"/>
          <w:szCs w:val="22"/>
        </w:rPr>
        <w:t xml:space="preserve"> Materials </w:t>
      </w:r>
      <w:r w:rsidR="005F3BBC" w:rsidRPr="005F3BBC">
        <w:rPr>
          <w:sz w:val="22"/>
          <w:szCs w:val="22"/>
        </w:rPr>
        <w:t>shall meet criteria in the ALDOT Special and Standard Highway Drawings,</w:t>
      </w:r>
      <w:r w:rsidR="00354126">
        <w:rPr>
          <w:sz w:val="22"/>
          <w:szCs w:val="22"/>
        </w:rPr>
        <w:t xml:space="preserve"> latest edition.</w:t>
      </w:r>
    </w:p>
    <w:p w14:paraId="77B30988" w14:textId="0CCFBDA8" w:rsidR="00333A26" w:rsidRDefault="00333A26" w:rsidP="00333A26">
      <w:pPr>
        <w:pStyle w:val="BodyText"/>
        <w:spacing w:before="11"/>
        <w:ind w:left="0"/>
        <w:rPr>
          <w:sz w:val="22"/>
          <w:szCs w:val="22"/>
        </w:rPr>
      </w:pPr>
      <w:r>
        <w:rPr>
          <w:sz w:val="22"/>
          <w:szCs w:val="22"/>
        </w:rPr>
        <w:t>Link to ALDOT’s Standard and Special Drawings</w:t>
      </w:r>
    </w:p>
    <w:p w14:paraId="48801BD6" w14:textId="032663B1" w:rsidR="00333A26" w:rsidRDefault="00333A26" w:rsidP="00333A26">
      <w:pPr>
        <w:pStyle w:val="BodyText"/>
        <w:spacing w:before="11"/>
        <w:ind w:left="0"/>
      </w:pPr>
      <w:hyperlink r:id="rId13" w:history="1">
        <w:r w:rsidRPr="00333A26">
          <w:rPr>
            <w:color w:val="0000FF"/>
            <w:sz w:val="22"/>
            <w:szCs w:val="22"/>
            <w:u w:val="single"/>
          </w:rPr>
          <w:t>ALDOT Standard and Special Drawings</w:t>
        </w:r>
      </w:hyperlink>
    </w:p>
    <w:p w14:paraId="6666FCAD" w14:textId="77777777" w:rsidR="00A71C77" w:rsidRDefault="00A71C77" w:rsidP="00333A26">
      <w:pPr>
        <w:pStyle w:val="BodyText"/>
        <w:spacing w:before="11"/>
        <w:ind w:left="0"/>
      </w:pPr>
    </w:p>
    <w:p w14:paraId="32121BDA" w14:textId="77777777" w:rsidR="00A71C77" w:rsidRDefault="00A71C77" w:rsidP="00333A26">
      <w:pPr>
        <w:pStyle w:val="BodyText"/>
        <w:spacing w:before="11"/>
        <w:ind w:left="0"/>
      </w:pPr>
    </w:p>
    <w:p w14:paraId="0FA6CD01" w14:textId="547754D0" w:rsidR="00A71C77" w:rsidRDefault="00A71C77" w:rsidP="00333A26">
      <w:pPr>
        <w:pStyle w:val="BodyText"/>
        <w:spacing w:before="11"/>
        <w:ind w:left="0"/>
        <w:rPr>
          <w:b/>
          <w:bCs/>
          <w:sz w:val="22"/>
          <w:szCs w:val="22"/>
        </w:rPr>
      </w:pPr>
      <w:r>
        <w:rPr>
          <w:b/>
          <w:bCs/>
          <w:sz w:val="22"/>
          <w:szCs w:val="22"/>
        </w:rPr>
        <w:t>Specific Line Requirements:</w:t>
      </w:r>
    </w:p>
    <w:p w14:paraId="1B58F166" w14:textId="21953FA5" w:rsidR="00A71C77" w:rsidRPr="00A71C77" w:rsidRDefault="00A71C77" w:rsidP="00333A26">
      <w:pPr>
        <w:pStyle w:val="BodyText"/>
        <w:spacing w:before="11"/>
        <w:ind w:left="0"/>
        <w:rPr>
          <w:sz w:val="22"/>
          <w:szCs w:val="22"/>
        </w:rPr>
      </w:pPr>
      <w:r>
        <w:rPr>
          <w:sz w:val="22"/>
          <w:szCs w:val="22"/>
        </w:rPr>
        <w:t xml:space="preserve">Line 31 must </w:t>
      </w:r>
      <w:r w:rsidR="00F32075">
        <w:rPr>
          <w:sz w:val="22"/>
          <w:szCs w:val="22"/>
        </w:rPr>
        <w:t xml:space="preserve">be rated to </w:t>
      </w:r>
      <w:r>
        <w:rPr>
          <w:sz w:val="22"/>
          <w:szCs w:val="22"/>
        </w:rPr>
        <w:t>meet</w:t>
      </w:r>
      <w:r w:rsidR="00F32075">
        <w:rPr>
          <w:sz w:val="22"/>
          <w:szCs w:val="22"/>
        </w:rPr>
        <w:t xml:space="preserve"> up to</w:t>
      </w:r>
      <w:r>
        <w:rPr>
          <w:sz w:val="22"/>
          <w:szCs w:val="22"/>
        </w:rPr>
        <w:t xml:space="preserve"> a maximum speed of 75 mph as well as the above general requirements.</w:t>
      </w:r>
    </w:p>
    <w:sectPr w:rsidR="00A71C77" w:rsidRPr="00A71C77">
      <w:headerReference w:type="default" r:id="rId14"/>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0C97" w14:textId="77777777" w:rsidR="00E5166B" w:rsidRDefault="00E5166B" w:rsidP="00804D0E">
      <w:r>
        <w:separator/>
      </w:r>
    </w:p>
  </w:endnote>
  <w:endnote w:type="continuationSeparator" w:id="0">
    <w:p w14:paraId="46CA5202" w14:textId="77777777" w:rsidR="00E5166B" w:rsidRDefault="00E5166B" w:rsidP="008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FF2B" w14:textId="77777777" w:rsidR="00E5166B" w:rsidRDefault="00E5166B" w:rsidP="00804D0E">
      <w:r>
        <w:separator/>
      </w:r>
    </w:p>
  </w:footnote>
  <w:footnote w:type="continuationSeparator" w:id="0">
    <w:p w14:paraId="4A7D6569" w14:textId="77777777" w:rsidR="00E5166B" w:rsidRDefault="00E5166B" w:rsidP="008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805" w:type="dxa"/>
      <w:tblInd w:w="-928" w:type="dxa"/>
      <w:tblLayout w:type="fixed"/>
      <w:tblLook w:val="04A0" w:firstRow="1" w:lastRow="0" w:firstColumn="1" w:lastColumn="0" w:noHBand="0" w:noVBand="1"/>
    </w:tblPr>
    <w:tblGrid>
      <w:gridCol w:w="7870"/>
      <w:gridCol w:w="3935"/>
    </w:tblGrid>
    <w:tr w:rsidR="00804D0E" w:rsidRPr="0078093F" w14:paraId="1305F9AA" w14:textId="77777777" w:rsidTr="00D96DB5">
      <w:trPr>
        <w:trHeight w:val="1999"/>
      </w:trPr>
      <w:tc>
        <w:tcPr>
          <w:tcW w:w="11805" w:type="dxa"/>
          <w:gridSpan w:val="2"/>
          <w:noWrap/>
          <w:vAlign w:val="bottom"/>
        </w:tcPr>
        <w:tbl>
          <w:tblPr>
            <w:tblW w:w="11744" w:type="dxa"/>
            <w:tblCellSpacing w:w="0" w:type="dxa"/>
            <w:tblLayout w:type="fixed"/>
            <w:tblCellMar>
              <w:left w:w="0" w:type="dxa"/>
              <w:right w:w="0" w:type="dxa"/>
            </w:tblCellMar>
            <w:tblLook w:val="04A0" w:firstRow="1" w:lastRow="0" w:firstColumn="1" w:lastColumn="0" w:noHBand="0" w:noVBand="1"/>
          </w:tblPr>
          <w:tblGrid>
            <w:gridCol w:w="11744"/>
          </w:tblGrid>
          <w:tr w:rsidR="00804D0E" w14:paraId="5ABA3D2C" w14:textId="77777777" w:rsidTr="00D96DB5">
            <w:trPr>
              <w:trHeight w:val="1846"/>
              <w:tblCellSpacing w:w="0" w:type="dxa"/>
            </w:trPr>
            <w:tc>
              <w:tcPr>
                <w:tcW w:w="11744" w:type="dxa"/>
                <w:vAlign w:val="center"/>
                <w:hideMark/>
              </w:tcPr>
              <w:p w14:paraId="293B15A6" w14:textId="25EC65E3" w:rsidR="00804D0E" w:rsidRDefault="00804D0E" w:rsidP="00804D0E">
                <w:pPr>
                  <w:widowControl/>
                  <w:autoSpaceDE/>
                  <w:jc w:val="center"/>
                  <w:rPr>
                    <w:rFonts w:ascii="Calibri" w:hAnsi="Calibri" w:cs="Calibri"/>
                    <w:b/>
                    <w:bCs/>
                    <w:color w:val="000000"/>
                    <w:sz w:val="28"/>
                    <w:szCs w:val="28"/>
                    <w:lang w:bidi="ar-SA"/>
                  </w:rPr>
                </w:pPr>
                <w:r>
                  <w:rPr>
                    <w:noProof/>
                  </w:rPr>
                  <w:drawing>
                    <wp:anchor distT="0" distB="0" distL="114300" distR="114300" simplePos="0" relativeHeight="251659264" behindDoc="0" locked="0" layoutInCell="1" allowOverlap="1" wp14:anchorId="379BB082" wp14:editId="2D7CC05C">
                      <wp:simplePos x="0" y="0"/>
                      <wp:positionH relativeFrom="column">
                        <wp:posOffset>38100</wp:posOffset>
                      </wp:positionH>
                      <wp:positionV relativeFrom="paragraph">
                        <wp:posOffset>47625</wp:posOffset>
                      </wp:positionV>
                      <wp:extent cx="971550" cy="962025"/>
                      <wp:effectExtent l="0" t="0" r="0" b="9525"/>
                      <wp:wrapNone/>
                      <wp:docPr id="1024490566" name="Picture 2" descr="A picture containing text, coin, clipart, ceramic w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oin, clipart, ceramic w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ACF2E96" wp14:editId="6EFCAA26">
                      <wp:simplePos x="0" y="0"/>
                      <wp:positionH relativeFrom="column">
                        <wp:posOffset>6248400</wp:posOffset>
                      </wp:positionH>
                      <wp:positionV relativeFrom="paragraph">
                        <wp:posOffset>28575</wp:posOffset>
                      </wp:positionV>
                      <wp:extent cx="952500" cy="952500"/>
                      <wp:effectExtent l="0" t="0" r="0" b="0"/>
                      <wp:wrapNone/>
                      <wp:docPr id="780864759"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28"/>
                    <w:szCs w:val="28"/>
                    <w:lang w:bidi="ar-SA"/>
                  </w:rPr>
                  <w:t>STATE OF ALABAMA</w:t>
                </w:r>
                <w:r>
                  <w:rPr>
                    <w:rFonts w:ascii="Calibri" w:hAnsi="Calibri" w:cs="Calibri"/>
                    <w:b/>
                    <w:bCs/>
                    <w:color w:val="000000"/>
                    <w:sz w:val="28"/>
                    <w:szCs w:val="28"/>
                    <w:lang w:bidi="ar-SA"/>
                  </w:rPr>
                  <w:br/>
                  <w:t>DEPARTMENT OF TRANSPORTATION</w:t>
                </w:r>
                <w:r>
                  <w:rPr>
                    <w:rFonts w:ascii="Calibri" w:hAnsi="Calibri" w:cs="Calibri"/>
                    <w:b/>
                    <w:bCs/>
                    <w:color w:val="000000"/>
                    <w:sz w:val="28"/>
                    <w:szCs w:val="28"/>
                    <w:lang w:bidi="ar-SA"/>
                  </w:rPr>
                  <w:br/>
                  <w:t>PROCUREMENT OFFICE</w:t>
                </w:r>
                <w:r>
                  <w:rPr>
                    <w:rFonts w:ascii="Calibri" w:hAnsi="Calibri" w:cs="Calibri"/>
                    <w:b/>
                    <w:bCs/>
                    <w:color w:val="000000"/>
                    <w:sz w:val="28"/>
                    <w:szCs w:val="28"/>
                    <w:lang w:bidi="ar-SA"/>
                  </w:rPr>
                  <w:br/>
                  <w:t>BID SOLICITATION FOR WORKER PROTECTION</w:t>
                </w:r>
              </w:p>
            </w:tc>
          </w:tr>
        </w:tbl>
        <w:p w14:paraId="35C99FD8" w14:textId="77777777" w:rsidR="00804D0E" w:rsidRPr="0078093F" w:rsidRDefault="00804D0E" w:rsidP="00804D0E">
          <w:pPr>
            <w:pStyle w:val="Header"/>
          </w:pPr>
        </w:p>
      </w:tc>
    </w:tr>
    <w:tr w:rsidR="00804D0E" w:rsidRPr="0078093F" w14:paraId="6F2EF7AE" w14:textId="77777777" w:rsidTr="00D96DB5">
      <w:trPr>
        <w:gridAfter w:val="1"/>
        <w:wAfter w:w="3935" w:type="dxa"/>
        <w:trHeight w:val="462"/>
      </w:trPr>
      <w:tc>
        <w:tcPr>
          <w:tcW w:w="7870" w:type="dxa"/>
          <w:noWrap/>
          <w:vAlign w:val="center"/>
        </w:tcPr>
        <w:p w14:paraId="67479A37" w14:textId="77777777" w:rsidR="00804D0E" w:rsidRDefault="00804D0E" w:rsidP="00804D0E">
          <w:pPr>
            <w:widowControl/>
            <w:autoSpaceDE/>
            <w:rPr>
              <w:rFonts w:ascii="Calibri" w:hAnsi="Calibri" w:cs="Calibri"/>
              <w:b/>
              <w:bCs/>
              <w:color w:val="000000"/>
              <w:sz w:val="28"/>
              <w:szCs w:val="28"/>
              <w:lang w:bidi="ar-SA"/>
            </w:rPr>
          </w:pPr>
          <w:r>
            <w:rPr>
              <w:rFonts w:ascii="Calibri" w:hAnsi="Calibri" w:cs="Calibri"/>
              <w:b/>
              <w:bCs/>
              <w:color w:val="000000"/>
              <w:sz w:val="28"/>
              <w:szCs w:val="28"/>
              <w:lang w:bidi="ar-SA"/>
            </w:rPr>
            <w:t xml:space="preserve">                            Statewide Traffic Control Devices for Work Zones </w:t>
          </w:r>
        </w:p>
        <w:p w14:paraId="40F4174F" w14:textId="77777777" w:rsidR="00804D0E" w:rsidRPr="0078093F" w:rsidRDefault="00804D0E" w:rsidP="00804D0E">
          <w:pPr>
            <w:pStyle w:val="Header"/>
            <w:rPr>
              <w:b/>
              <w:bCs/>
            </w:rPr>
          </w:pPr>
          <w:r>
            <w:rPr>
              <w:rFonts w:ascii="Calibri" w:hAnsi="Calibri" w:cs="Calibri"/>
              <w:b/>
              <w:bCs/>
              <w:color w:val="000000"/>
              <w:sz w:val="28"/>
              <w:szCs w:val="28"/>
              <w:lang w:bidi="ar-SA"/>
            </w:rPr>
            <w:t xml:space="preserve">                                                          Master Agreement  </w:t>
          </w:r>
        </w:p>
      </w:tc>
    </w:tr>
  </w:tbl>
  <w:p w14:paraId="404CAA00" w14:textId="77777777" w:rsidR="00804D0E" w:rsidRDefault="00804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34"/>
    <w:rsid w:val="000179E4"/>
    <w:rsid w:val="0002209D"/>
    <w:rsid w:val="000849B1"/>
    <w:rsid w:val="000A360E"/>
    <w:rsid w:val="000B4431"/>
    <w:rsid w:val="000F4844"/>
    <w:rsid w:val="00107779"/>
    <w:rsid w:val="00113344"/>
    <w:rsid w:val="00151771"/>
    <w:rsid w:val="001626FC"/>
    <w:rsid w:val="00182735"/>
    <w:rsid w:val="001957F3"/>
    <w:rsid w:val="001F1F51"/>
    <w:rsid w:val="0021193F"/>
    <w:rsid w:val="00220553"/>
    <w:rsid w:val="00233252"/>
    <w:rsid w:val="00241F4C"/>
    <w:rsid w:val="002C7B67"/>
    <w:rsid w:val="0030587B"/>
    <w:rsid w:val="00307B33"/>
    <w:rsid w:val="0032641F"/>
    <w:rsid w:val="00333A26"/>
    <w:rsid w:val="00354126"/>
    <w:rsid w:val="003573ED"/>
    <w:rsid w:val="003E7C27"/>
    <w:rsid w:val="004002D1"/>
    <w:rsid w:val="00403389"/>
    <w:rsid w:val="00424AB3"/>
    <w:rsid w:val="00484FDB"/>
    <w:rsid w:val="004E2A63"/>
    <w:rsid w:val="004F2423"/>
    <w:rsid w:val="00500B4F"/>
    <w:rsid w:val="00514402"/>
    <w:rsid w:val="00556E13"/>
    <w:rsid w:val="00594FF8"/>
    <w:rsid w:val="005A6B6F"/>
    <w:rsid w:val="005F3BBC"/>
    <w:rsid w:val="00617393"/>
    <w:rsid w:val="00642568"/>
    <w:rsid w:val="006A405E"/>
    <w:rsid w:val="006D15EC"/>
    <w:rsid w:val="007320F2"/>
    <w:rsid w:val="00795F77"/>
    <w:rsid w:val="007A28A7"/>
    <w:rsid w:val="007A7FE5"/>
    <w:rsid w:val="007B56FF"/>
    <w:rsid w:val="007B6E59"/>
    <w:rsid w:val="00804D0E"/>
    <w:rsid w:val="00884B68"/>
    <w:rsid w:val="008961BC"/>
    <w:rsid w:val="008B4CD0"/>
    <w:rsid w:val="008F3A16"/>
    <w:rsid w:val="008F5911"/>
    <w:rsid w:val="00901C95"/>
    <w:rsid w:val="00945992"/>
    <w:rsid w:val="00966BEE"/>
    <w:rsid w:val="009D1E40"/>
    <w:rsid w:val="009E05FB"/>
    <w:rsid w:val="009E5160"/>
    <w:rsid w:val="00A5441F"/>
    <w:rsid w:val="00A71C77"/>
    <w:rsid w:val="00AA761C"/>
    <w:rsid w:val="00B05B58"/>
    <w:rsid w:val="00B1793D"/>
    <w:rsid w:val="00B84643"/>
    <w:rsid w:val="00B85188"/>
    <w:rsid w:val="00BB78E2"/>
    <w:rsid w:val="00BD0998"/>
    <w:rsid w:val="00BD69B7"/>
    <w:rsid w:val="00BE2885"/>
    <w:rsid w:val="00C1793C"/>
    <w:rsid w:val="00C25220"/>
    <w:rsid w:val="00C40DE0"/>
    <w:rsid w:val="00C67C35"/>
    <w:rsid w:val="00C73607"/>
    <w:rsid w:val="00C85991"/>
    <w:rsid w:val="00CC1BEF"/>
    <w:rsid w:val="00CC7634"/>
    <w:rsid w:val="00D75A15"/>
    <w:rsid w:val="00DC12BF"/>
    <w:rsid w:val="00DC6B8D"/>
    <w:rsid w:val="00DD6E41"/>
    <w:rsid w:val="00E5166B"/>
    <w:rsid w:val="00E52A1D"/>
    <w:rsid w:val="00E669A2"/>
    <w:rsid w:val="00E87394"/>
    <w:rsid w:val="00EB0DC7"/>
    <w:rsid w:val="00F32075"/>
    <w:rsid w:val="00F55C4E"/>
    <w:rsid w:val="00FF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6A08"/>
  <w15:docId w15:val="{5BB7CB44-D231-4D32-867D-9398704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1193F"/>
    <w:rPr>
      <w:color w:val="0563C1"/>
      <w:u w:val="single"/>
    </w:rPr>
  </w:style>
  <w:style w:type="table" w:styleId="LightList-Accent3">
    <w:name w:val="Light List Accent 3"/>
    <w:basedOn w:val="TableNormal"/>
    <w:uiPriority w:val="61"/>
    <w:rsid w:val="00BD0998"/>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484FDB"/>
    <w:rPr>
      <w:rFonts w:ascii="Times New Roman" w:eastAsia="Times New Roman" w:hAnsi="Times New Roman" w:cs="Times New Roman"/>
      <w:b/>
      <w:bCs/>
      <w:sz w:val="16"/>
      <w:szCs w:val="16"/>
      <w:lang w:bidi="en-US"/>
    </w:rPr>
  </w:style>
  <w:style w:type="paragraph" w:styleId="Header">
    <w:name w:val="header"/>
    <w:basedOn w:val="Normal"/>
    <w:link w:val="HeaderChar"/>
    <w:uiPriority w:val="99"/>
    <w:unhideWhenUsed/>
    <w:rsid w:val="00804D0E"/>
    <w:pPr>
      <w:tabs>
        <w:tab w:val="center" w:pos="4680"/>
        <w:tab w:val="right" w:pos="9360"/>
      </w:tabs>
    </w:pPr>
  </w:style>
  <w:style w:type="character" w:customStyle="1" w:styleId="HeaderChar">
    <w:name w:val="Header Char"/>
    <w:basedOn w:val="DefaultParagraphFont"/>
    <w:link w:val="Header"/>
    <w:uiPriority w:val="99"/>
    <w:rsid w:val="00804D0E"/>
    <w:rPr>
      <w:rFonts w:ascii="Times New Roman" w:eastAsia="Times New Roman" w:hAnsi="Times New Roman" w:cs="Times New Roman"/>
      <w:lang w:bidi="en-US"/>
    </w:rPr>
  </w:style>
  <w:style w:type="paragraph" w:styleId="Footer">
    <w:name w:val="footer"/>
    <w:basedOn w:val="Normal"/>
    <w:link w:val="FooterChar"/>
    <w:uiPriority w:val="99"/>
    <w:unhideWhenUsed/>
    <w:rsid w:val="00804D0E"/>
    <w:pPr>
      <w:tabs>
        <w:tab w:val="center" w:pos="4680"/>
        <w:tab w:val="right" w:pos="9360"/>
      </w:tabs>
    </w:pPr>
  </w:style>
  <w:style w:type="character" w:customStyle="1" w:styleId="FooterChar">
    <w:name w:val="Footer Char"/>
    <w:basedOn w:val="DefaultParagraphFont"/>
    <w:link w:val="Footer"/>
    <w:uiPriority w:val="99"/>
    <w:rsid w:val="00804D0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letting.dot.state.al.us/Docs/Standard_Drawings/StdDrawingSelect.htm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dot.state.al.us/publications/Materials/MSDSAR.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t.state.al.us/publications/Construction/pdf/Specifications/2026/2026_SPEC_BOOK_FINAL_PDF_COPY_11-19-25.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ot.state.al.us/business/Procurementsupplies.html" TargetMode="External"/><Relationship Id="rId4" Type="http://schemas.openxmlformats.org/officeDocument/2006/relationships/styles" Target="styles.xml"/><Relationship Id="rId9" Type="http://schemas.openxmlformats.org/officeDocument/2006/relationships/hyperlink" Target="mailto:bids@dot.state.al.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3940295-fe5a-4812-8eec-94118ef449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084157C0FA1A41B960B30DD0517AFA" ma:contentTypeVersion="11" ma:contentTypeDescription="Create a new document." ma:contentTypeScope="" ma:versionID="b95b1fae3cd9d96a21820af802cb37a7">
  <xsd:schema xmlns:xsd="http://www.w3.org/2001/XMLSchema" xmlns:xs="http://www.w3.org/2001/XMLSchema" xmlns:p="http://schemas.microsoft.com/office/2006/metadata/properties" xmlns:ns3="a3940295-fe5a-4812-8eec-94118ef4498d" xmlns:ns4="02108f39-b04a-4c0b-a8e6-ae24e4fc8fce" targetNamespace="http://schemas.microsoft.com/office/2006/metadata/properties" ma:root="true" ma:fieldsID="2d31acc0e5c4e49bfe9f94337213c423" ns3:_="" ns4:_="">
    <xsd:import namespace="a3940295-fe5a-4812-8eec-94118ef4498d"/>
    <xsd:import namespace="02108f39-b04a-4c0b-a8e6-ae24e4fc8f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40295-fe5a-4812-8eec-94118ef44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f39-b04a-4c0b-a8e6-ae24e4fc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30984-7F17-465B-B1AD-8285CBCDC4CD}">
  <ds:schemaRefs>
    <ds:schemaRef ds:uri="http://schemas.microsoft.com/sharepoint/v3/contenttype/forms"/>
  </ds:schemaRefs>
</ds:datastoreItem>
</file>

<file path=customXml/itemProps2.xml><?xml version="1.0" encoding="utf-8"?>
<ds:datastoreItem xmlns:ds="http://schemas.openxmlformats.org/officeDocument/2006/customXml" ds:itemID="{69F82EEB-6946-47FB-9948-279403A7627C}">
  <ds:schemaRefs>
    <ds:schemaRef ds:uri="http://schemas.microsoft.com/office/2006/metadata/properties"/>
    <ds:schemaRef ds:uri="http://schemas.microsoft.com/office/infopath/2007/PartnerControls"/>
    <ds:schemaRef ds:uri="a3940295-fe5a-4812-8eec-94118ef4498d"/>
  </ds:schemaRefs>
</ds:datastoreItem>
</file>

<file path=customXml/itemProps3.xml><?xml version="1.0" encoding="utf-8"?>
<ds:datastoreItem xmlns:ds="http://schemas.openxmlformats.org/officeDocument/2006/customXml" ds:itemID="{4A70A2AF-1521-4A61-9090-A79B3153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40295-fe5a-4812-8eec-94118ef4498d"/>
    <ds:schemaRef ds:uri="02108f39-b04a-4c0b-a8e6-ae24e4fc8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959</Words>
  <Characters>5087</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Bryan</dc:creator>
  <cp:lastModifiedBy>Thomas, Frances C.</cp:lastModifiedBy>
  <cp:revision>8</cp:revision>
  <cp:lastPrinted>2026-02-13T16:51:00Z</cp:lastPrinted>
  <dcterms:created xsi:type="dcterms:W3CDTF">2026-02-13T23:48:00Z</dcterms:created>
  <dcterms:modified xsi:type="dcterms:W3CDTF">2026-02-13T23:49:00Z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2023-05-19T00:00:00Z</vt:filetime>
  </property>
  <property fmtid="{D5CDD505-2E9C-101B-9397-08002B2CF9AE}" pid="5" name="GrammarlyDocumentId">
    <vt:lpwstr>0d6b6ca1-0441-47be-a031-5dd6e3c2cbad</vt:lpwstr>
  </property>
  <property fmtid="{D5CDD505-2E9C-101B-9397-08002B2CF9AE}" pid="6" name="ContentTypeId">
    <vt:lpwstr>0x010100F7084157C0FA1A41B960B30DD0517AFA</vt:lpwstr>
  </property>
</Properties>
</file>